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1B3F" w14:textId="02418800" w:rsidR="00AC3BAB" w:rsidRDefault="00B94C11" w:rsidP="00AC3BAB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5EF3E7" wp14:editId="541C8B1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01950" cy="434975"/>
            <wp:effectExtent l="0" t="0" r="0" b="3175"/>
            <wp:wrapSquare wrapText="bothSides"/>
            <wp:docPr id="5" name="Picture 4" descr="Screenshot 2019-09-30 at 08.59.51.png">
              <a:extLst xmlns:a="http://schemas.openxmlformats.org/drawingml/2006/main">
                <a:ext uri="{FF2B5EF4-FFF2-40B4-BE49-F238E27FC236}">
                  <a16:creationId xmlns:a16="http://schemas.microsoft.com/office/drawing/2014/main" id="{E3B6CA5A-7986-4433-A575-4705B2AF96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creenshot 2019-09-30 at 08.59.51.png">
                      <a:extLst>
                        <a:ext uri="{FF2B5EF4-FFF2-40B4-BE49-F238E27FC236}">
                          <a16:creationId xmlns:a16="http://schemas.microsoft.com/office/drawing/2014/main" id="{E3B6CA5A-7986-4433-A575-4705B2AF96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0E85540" w14:textId="79FDDD22" w:rsidR="00AC3BAB" w:rsidRDefault="00AC3BAB" w:rsidP="00AC3BAB">
      <w:pPr>
        <w:jc w:val="center"/>
      </w:pPr>
    </w:p>
    <w:p w14:paraId="6E3B7F3C" w14:textId="77777777" w:rsidR="00B94C11" w:rsidRDefault="00B94C11" w:rsidP="00AC3BAB">
      <w:pPr>
        <w:jc w:val="center"/>
        <w:rPr>
          <w:b/>
          <w:bCs/>
        </w:rPr>
      </w:pPr>
    </w:p>
    <w:p w14:paraId="441DB0E4" w14:textId="5DB18BA3" w:rsidR="000F6D07" w:rsidRDefault="00AC3BAB" w:rsidP="00AC3BAB">
      <w:pPr>
        <w:jc w:val="center"/>
        <w:rPr>
          <w:b/>
          <w:bCs/>
        </w:rPr>
      </w:pPr>
      <w:r w:rsidRPr="00AC3BAB">
        <w:rPr>
          <w:b/>
          <w:bCs/>
        </w:rPr>
        <w:t>Educational Development Time</w:t>
      </w:r>
      <w:r w:rsidR="002D1CC8">
        <w:rPr>
          <w:b/>
          <w:bCs/>
        </w:rPr>
        <w:t xml:space="preserve"> for Anaesthetists in Training</w:t>
      </w:r>
    </w:p>
    <w:p w14:paraId="59F4EF93" w14:textId="77777777" w:rsidR="002D1CC8" w:rsidRDefault="002D1CC8" w:rsidP="00AC3BAB">
      <w:pPr>
        <w:jc w:val="center"/>
        <w:rPr>
          <w:b/>
          <w:bCs/>
        </w:rPr>
      </w:pPr>
    </w:p>
    <w:p w14:paraId="386FA0D4" w14:textId="5D7104DA" w:rsidR="002D1CC8" w:rsidRDefault="002D1CC8" w:rsidP="00AC3BAB">
      <w:pPr>
        <w:jc w:val="center"/>
        <w:rPr>
          <w:b/>
          <w:bCs/>
        </w:rPr>
      </w:pPr>
      <w:r>
        <w:rPr>
          <w:b/>
          <w:bCs/>
        </w:rPr>
        <w:t xml:space="preserve">Guidance for </w:t>
      </w:r>
      <w:r w:rsidR="001B3A55">
        <w:rPr>
          <w:b/>
          <w:bCs/>
        </w:rPr>
        <w:t>Anaesthetic Departments in Wales</w:t>
      </w:r>
      <w:r>
        <w:rPr>
          <w:b/>
          <w:bCs/>
        </w:rPr>
        <w:t xml:space="preserve"> </w:t>
      </w:r>
    </w:p>
    <w:p w14:paraId="1E894CA8" w14:textId="375F9F40" w:rsidR="00AC3BAB" w:rsidRDefault="00AC3BAB" w:rsidP="00AC3BAB"/>
    <w:p w14:paraId="7EF8ECF5" w14:textId="118389DD" w:rsidR="00355533" w:rsidRDefault="004261F5" w:rsidP="00AC3BAB">
      <w:r>
        <w:t xml:space="preserve">The </w:t>
      </w:r>
      <w:proofErr w:type="spellStart"/>
      <w:r>
        <w:t>RCoA</w:t>
      </w:r>
      <w:proofErr w:type="spellEnd"/>
      <w:r>
        <w:t xml:space="preserve"> 2021 CCT curriculum in </w:t>
      </w:r>
      <w:r w:rsidR="00BB6251">
        <w:t>A</w:t>
      </w:r>
      <w:r>
        <w:t xml:space="preserve">naesthesia </w:t>
      </w:r>
      <w:r w:rsidR="0036031E">
        <w:t xml:space="preserve">requires all anaesthetists in training to provide evidence </w:t>
      </w:r>
      <w:r w:rsidR="009F3D58">
        <w:t>demonstrating areas of professional practice</w:t>
      </w:r>
      <w:r w:rsidR="00355533">
        <w:t xml:space="preserve"> in line with </w:t>
      </w:r>
      <w:r w:rsidR="005B7FD6">
        <w:t>the GMC</w:t>
      </w:r>
      <w:r w:rsidR="00355533">
        <w:t>’</w:t>
      </w:r>
      <w:r w:rsidR="005B7FD6">
        <w:t>s</w:t>
      </w:r>
      <w:r w:rsidR="00355533">
        <w:t xml:space="preserve"> </w:t>
      </w:r>
      <w:r>
        <w:t>Generic Professional Capabilit</w:t>
      </w:r>
      <w:r w:rsidR="00CF7476">
        <w:t>y</w:t>
      </w:r>
      <w:r w:rsidR="00D43107">
        <w:t xml:space="preserve"> domains</w:t>
      </w:r>
      <w:r>
        <w:t xml:space="preserve">. These </w:t>
      </w:r>
      <w:r w:rsidR="00355533">
        <w:t>domains</w:t>
      </w:r>
      <w:r w:rsidR="00627351">
        <w:t xml:space="preserve"> are set out in the 2021 curriculum under the following </w:t>
      </w:r>
      <w:r w:rsidR="00F14D09">
        <w:t>HALOs</w:t>
      </w:r>
      <w:r w:rsidR="00355533">
        <w:t>:</w:t>
      </w:r>
    </w:p>
    <w:p w14:paraId="5D95B668" w14:textId="77777777" w:rsidR="00355533" w:rsidRDefault="004261F5" w:rsidP="005B12C4">
      <w:pPr>
        <w:ind w:left="720"/>
      </w:pPr>
      <w:r>
        <w:t>1. Professional behaviours and communication</w:t>
      </w:r>
    </w:p>
    <w:p w14:paraId="02E553AF" w14:textId="77777777" w:rsidR="00355533" w:rsidRDefault="004261F5" w:rsidP="005B12C4">
      <w:pPr>
        <w:ind w:left="720"/>
      </w:pPr>
      <w:r>
        <w:t>2. Management and professional regulatory requirements</w:t>
      </w:r>
    </w:p>
    <w:p w14:paraId="24D05394" w14:textId="0E626191" w:rsidR="00355533" w:rsidRDefault="004261F5" w:rsidP="005B12C4">
      <w:pPr>
        <w:ind w:left="720"/>
      </w:pPr>
      <w:r>
        <w:t>3. Team workin</w:t>
      </w:r>
      <w:r w:rsidR="005B12C4">
        <w:t>g</w:t>
      </w:r>
    </w:p>
    <w:p w14:paraId="3922B133" w14:textId="77777777" w:rsidR="00355533" w:rsidRDefault="004261F5" w:rsidP="005B12C4">
      <w:pPr>
        <w:ind w:left="720"/>
      </w:pPr>
      <w:r>
        <w:t>4. Safety and quality improvement</w:t>
      </w:r>
    </w:p>
    <w:p w14:paraId="3C1E0971" w14:textId="77777777" w:rsidR="005B12C4" w:rsidRDefault="004261F5" w:rsidP="005B12C4">
      <w:pPr>
        <w:ind w:left="720"/>
      </w:pPr>
      <w:r>
        <w:t>5. Safeguarding</w:t>
      </w:r>
    </w:p>
    <w:p w14:paraId="2DCCF9CB" w14:textId="77777777" w:rsidR="005B12C4" w:rsidRDefault="004261F5" w:rsidP="005B12C4">
      <w:pPr>
        <w:ind w:left="720"/>
      </w:pPr>
      <w:r>
        <w:t>6. Education and training</w:t>
      </w:r>
    </w:p>
    <w:p w14:paraId="48D0D403" w14:textId="77777777" w:rsidR="005B12C4" w:rsidRDefault="004261F5" w:rsidP="005B12C4">
      <w:pPr>
        <w:ind w:left="720"/>
      </w:pPr>
      <w:r>
        <w:t>7. Research and managing data</w:t>
      </w:r>
    </w:p>
    <w:p w14:paraId="40D00AA9" w14:textId="77777777" w:rsidR="00ED2371" w:rsidRDefault="00ED2371" w:rsidP="00F53804"/>
    <w:p w14:paraId="52A75DCC" w14:textId="77777777" w:rsidR="008B686B" w:rsidRDefault="00691C99" w:rsidP="00F53804">
      <w:r>
        <w:t xml:space="preserve">Some </w:t>
      </w:r>
      <w:r w:rsidR="00CF7476">
        <w:t xml:space="preserve">professional </w:t>
      </w:r>
      <w:r>
        <w:t>domains will be assessed in the clinical environment</w:t>
      </w:r>
      <w:r w:rsidR="00915984">
        <w:t>.</w:t>
      </w:r>
      <w:r w:rsidR="00570FCE">
        <w:t xml:space="preserve"> </w:t>
      </w:r>
      <w:proofErr w:type="gramStart"/>
      <w:r w:rsidR="00915984">
        <w:t>H</w:t>
      </w:r>
      <w:r w:rsidR="00570FCE">
        <w:t>owever</w:t>
      </w:r>
      <w:proofErr w:type="gramEnd"/>
      <w:r w:rsidR="00570FCE">
        <w:t xml:space="preserve"> others will require specific time </w:t>
      </w:r>
      <w:r w:rsidR="00915984">
        <w:t xml:space="preserve">i.e. Educational Development Time (EDT) </w:t>
      </w:r>
      <w:r w:rsidR="007D1C9A">
        <w:t xml:space="preserve">for developing and </w:t>
      </w:r>
      <w:proofErr w:type="spellStart"/>
      <w:r w:rsidR="007D1C9A">
        <w:t>assessing</w:t>
      </w:r>
      <w:proofErr w:type="spellEnd"/>
      <w:r w:rsidR="007D1C9A">
        <w:t xml:space="preserve"> skills</w:t>
      </w:r>
      <w:r w:rsidR="00106EA8">
        <w:t xml:space="preserve"> to support learning and assessment in professional practice.</w:t>
      </w:r>
      <w:r w:rsidR="007D1C9A">
        <w:t xml:space="preserve"> </w:t>
      </w:r>
      <w:r w:rsidR="00DC5D02">
        <w:t xml:space="preserve">The </w:t>
      </w:r>
      <w:proofErr w:type="spellStart"/>
      <w:r w:rsidR="00DC5D02">
        <w:t>RCoA</w:t>
      </w:r>
      <w:proofErr w:type="spellEnd"/>
      <w:r w:rsidR="00DC5D02">
        <w:t xml:space="preserve"> has provided guidance </w:t>
      </w:r>
      <w:r w:rsidR="004C7231">
        <w:t xml:space="preserve">for </w:t>
      </w:r>
      <w:r w:rsidR="00D42F70">
        <w:t xml:space="preserve">the </w:t>
      </w:r>
      <w:r w:rsidR="003C6C58">
        <w:t xml:space="preserve">suggested time required </w:t>
      </w:r>
      <w:r w:rsidR="00D42F70">
        <w:t xml:space="preserve">for </w:t>
      </w:r>
      <w:r w:rsidR="007D1C9A">
        <w:t>each stage of training</w:t>
      </w:r>
      <w:r w:rsidR="004E1229">
        <w:t xml:space="preserve">, recommending trainees in anaesthetic posts in Stages 1 and 2 of the </w:t>
      </w:r>
      <w:proofErr w:type="gramStart"/>
      <w:r w:rsidR="004E1229">
        <w:t>curriculum</w:t>
      </w:r>
      <w:proofErr w:type="gramEnd"/>
      <w:r w:rsidR="004E1229">
        <w:t xml:space="preserve"> on both Core Anaesthetic Training and ACCS pathways should be allocated up to 2 hours of EDT per week. Those in Stage 3 should be allocated up to 4 hours per week</w:t>
      </w:r>
      <w:r w:rsidR="002048FC">
        <w:t>, reflecting the requirement for greater involvement in some of these areas in the later stages of the training programme.</w:t>
      </w:r>
    </w:p>
    <w:p w14:paraId="74C21BB0" w14:textId="6FF63049" w:rsidR="00F53804" w:rsidRDefault="00F53804" w:rsidP="00F53804">
      <w:pPr>
        <w:rPr>
          <w:rFonts w:ascii="Arial" w:hAnsi="Arial" w:cs="Arial"/>
        </w:rPr>
      </w:pPr>
      <w:r>
        <w:t xml:space="preserve">EDT should be allocated pro rata for less than full time trainees. </w:t>
      </w:r>
      <w:r w:rsidR="00C73A5B">
        <w:t xml:space="preserve">The </w:t>
      </w:r>
      <w:proofErr w:type="spellStart"/>
      <w:r w:rsidR="00C73A5B">
        <w:t>RCoA</w:t>
      </w:r>
      <w:proofErr w:type="spellEnd"/>
      <w:r w:rsidR="00C73A5B">
        <w:t xml:space="preserve"> guidance suggests that </w:t>
      </w:r>
      <w:r w:rsidR="00ED2371">
        <w:t>allocation of time m</w:t>
      </w:r>
      <w:r>
        <w:t xml:space="preserve">ay be managed flexibly by departments and can be averaged over a period of time if </w:t>
      </w:r>
      <w:proofErr w:type="gramStart"/>
      <w:r>
        <w:t>desired</w:t>
      </w:r>
      <w:r w:rsidR="00C73A5B">
        <w:t>.</w:t>
      </w:r>
      <w:r w:rsidR="00ED2371">
        <w:rPr>
          <w:rFonts w:ascii="Arial" w:hAnsi="Arial" w:cs="Arial"/>
        </w:rPr>
        <w:t>¹</w:t>
      </w:r>
      <w:proofErr w:type="gramEnd"/>
    </w:p>
    <w:p w14:paraId="50CD527A" w14:textId="6FE1E843" w:rsidR="002048FC" w:rsidRDefault="002048FC" w:rsidP="00F53804">
      <w:pPr>
        <w:rPr>
          <w:rFonts w:ascii="Arial" w:hAnsi="Arial" w:cs="Arial"/>
        </w:rPr>
      </w:pPr>
    </w:p>
    <w:p w14:paraId="2B5A2D96" w14:textId="4EA6C0C6" w:rsidR="007D1C9A" w:rsidRPr="00E2037D" w:rsidRDefault="002048FC" w:rsidP="007D1C9A">
      <w:pPr>
        <w:rPr>
          <w:rFonts w:cstheme="minorHAnsi"/>
        </w:rPr>
      </w:pPr>
      <w:r w:rsidRPr="00E2037D">
        <w:rPr>
          <w:rFonts w:cstheme="minorHAnsi"/>
        </w:rPr>
        <w:t xml:space="preserve">A working group </w:t>
      </w:r>
      <w:r w:rsidR="005503F7" w:rsidRPr="00E2037D">
        <w:rPr>
          <w:rFonts w:cstheme="minorHAnsi"/>
        </w:rPr>
        <w:t xml:space="preserve">was established from the </w:t>
      </w:r>
      <w:proofErr w:type="spellStart"/>
      <w:r w:rsidR="00DD3C09">
        <w:rPr>
          <w:rFonts w:cstheme="minorHAnsi"/>
        </w:rPr>
        <w:t>WSoA</w:t>
      </w:r>
      <w:proofErr w:type="spellEnd"/>
      <w:r w:rsidR="00DD3C09">
        <w:rPr>
          <w:rFonts w:cstheme="minorHAnsi"/>
        </w:rPr>
        <w:t xml:space="preserve"> </w:t>
      </w:r>
      <w:r w:rsidR="005503F7" w:rsidRPr="00E2037D">
        <w:rPr>
          <w:rFonts w:cstheme="minorHAnsi"/>
        </w:rPr>
        <w:t>STC membership</w:t>
      </w:r>
      <w:r w:rsidR="00E2037D" w:rsidRPr="00E2037D">
        <w:rPr>
          <w:rFonts w:cstheme="minorHAnsi"/>
        </w:rPr>
        <w:t xml:space="preserve"> and Health Boards</w:t>
      </w:r>
      <w:r w:rsidR="005503F7" w:rsidRPr="00E2037D">
        <w:rPr>
          <w:rFonts w:cstheme="minorHAnsi"/>
        </w:rPr>
        <w:t xml:space="preserve"> to provide </w:t>
      </w:r>
      <w:r w:rsidR="00C72B2D" w:rsidRPr="00E2037D">
        <w:rPr>
          <w:rFonts w:cstheme="minorHAnsi"/>
        </w:rPr>
        <w:t>a standardised approach for allocation and agree</w:t>
      </w:r>
      <w:r w:rsidR="00E2037D" w:rsidRPr="00E2037D">
        <w:rPr>
          <w:rFonts w:cstheme="minorHAnsi"/>
        </w:rPr>
        <w:t>d</w:t>
      </w:r>
      <w:r w:rsidR="00C72B2D" w:rsidRPr="00E2037D">
        <w:rPr>
          <w:rFonts w:cstheme="minorHAnsi"/>
        </w:rPr>
        <w:t xml:space="preserve"> content of EDT</w:t>
      </w:r>
      <w:r w:rsidR="00B11B00">
        <w:rPr>
          <w:rFonts w:cstheme="minorHAnsi"/>
        </w:rPr>
        <w:t xml:space="preserve"> in each departmental site.</w:t>
      </w:r>
      <w:r w:rsidR="00EF26D1">
        <w:rPr>
          <w:rFonts w:cstheme="minorHAnsi"/>
        </w:rPr>
        <w:t xml:space="preserve"> The following principles were agreed.</w:t>
      </w:r>
    </w:p>
    <w:p w14:paraId="45329221" w14:textId="44798D33" w:rsidR="00BD0B9A" w:rsidRDefault="00BD0B9A" w:rsidP="00F413E1">
      <w:pPr>
        <w:pStyle w:val="ListParagraph"/>
        <w:numPr>
          <w:ilvl w:val="0"/>
          <w:numId w:val="3"/>
        </w:numPr>
      </w:pPr>
      <w:r>
        <w:t xml:space="preserve">EDT is </w:t>
      </w:r>
      <w:r w:rsidR="00EF26D1">
        <w:t xml:space="preserve">time allocated </w:t>
      </w:r>
      <w:r>
        <w:t xml:space="preserve">in addition to </w:t>
      </w:r>
      <w:r w:rsidR="00B34029">
        <w:t xml:space="preserve">departmental </w:t>
      </w:r>
      <w:r w:rsidR="00EF26D1">
        <w:t xml:space="preserve">and/or regional </w:t>
      </w:r>
      <w:r w:rsidR="00B34029">
        <w:t>teaching</w:t>
      </w:r>
      <w:r w:rsidR="00EF26D1">
        <w:t>.</w:t>
      </w:r>
      <w:r w:rsidR="00B34029">
        <w:t xml:space="preserve"> </w:t>
      </w:r>
    </w:p>
    <w:p w14:paraId="1DF7666F" w14:textId="06390381" w:rsidR="00BD0B9A" w:rsidRDefault="00BD0B9A" w:rsidP="00F413E1">
      <w:pPr>
        <w:pStyle w:val="ListParagraph"/>
        <w:numPr>
          <w:ilvl w:val="0"/>
          <w:numId w:val="3"/>
        </w:numPr>
      </w:pPr>
      <w:r>
        <w:t xml:space="preserve">EDT should be allocated on the </w:t>
      </w:r>
      <w:r w:rsidR="00DD3C09">
        <w:t xml:space="preserve">electronic </w:t>
      </w:r>
      <w:r>
        <w:t>rota and</w:t>
      </w:r>
      <w:r w:rsidR="00332FA5">
        <w:t>,</w:t>
      </w:r>
      <w:r>
        <w:t xml:space="preserve"> </w:t>
      </w:r>
      <w:r w:rsidR="003575CF">
        <w:t>if possible</w:t>
      </w:r>
      <w:r w:rsidR="00332FA5">
        <w:t>,</w:t>
      </w:r>
      <w:r w:rsidR="003575CF">
        <w:t xml:space="preserve"> </w:t>
      </w:r>
      <w:r>
        <w:t>the trainee should be present in the hospital to complete this activity</w:t>
      </w:r>
      <w:r w:rsidR="00C861A1">
        <w:t xml:space="preserve"> if the facilities allow</w:t>
      </w:r>
      <w:r w:rsidR="003575CF">
        <w:t>.</w:t>
      </w:r>
    </w:p>
    <w:p w14:paraId="531CE1B1" w14:textId="52EDF440" w:rsidR="00917BC0" w:rsidRDefault="00917BC0" w:rsidP="00917BC0">
      <w:pPr>
        <w:pStyle w:val="ListParagraph"/>
        <w:numPr>
          <w:ilvl w:val="0"/>
          <w:numId w:val="3"/>
        </w:numPr>
      </w:pPr>
      <w:r>
        <w:t>It is the responsibility of the ES to ensure EDT is allocated on the weekly rota and to direct and monitor content within a clearly defined personal development plan.</w:t>
      </w:r>
      <w:r w:rsidR="00934E24">
        <w:t xml:space="preserve"> Use of EDT will be </w:t>
      </w:r>
      <w:r w:rsidR="002E5DFC">
        <w:t>specifically recorded by the ES on the ESSR for ARCP.</w:t>
      </w:r>
    </w:p>
    <w:p w14:paraId="2E96FBD5" w14:textId="47A9DACF" w:rsidR="003575CF" w:rsidRDefault="003575CF" w:rsidP="003575CF">
      <w:pPr>
        <w:pStyle w:val="ListParagraph"/>
        <w:numPr>
          <w:ilvl w:val="0"/>
          <w:numId w:val="3"/>
        </w:numPr>
      </w:pPr>
      <w:r>
        <w:t xml:space="preserve">EDT is </w:t>
      </w:r>
      <w:r w:rsidR="00917BC0">
        <w:t>not</w:t>
      </w:r>
      <w:r>
        <w:t xml:space="preserve"> accrued during annual leave and study leave.</w:t>
      </w:r>
    </w:p>
    <w:p w14:paraId="6C997EC3" w14:textId="08B8DC15" w:rsidR="0020025A" w:rsidRDefault="0020025A" w:rsidP="003575CF">
      <w:pPr>
        <w:pStyle w:val="ListParagraph"/>
        <w:numPr>
          <w:ilvl w:val="0"/>
          <w:numId w:val="3"/>
        </w:numPr>
      </w:pPr>
      <w:r>
        <w:t>EDT must be given the same protected</w:t>
      </w:r>
      <w:r w:rsidR="00AD435F">
        <w:t xml:space="preserve"> status as departmental teaching time.</w:t>
      </w:r>
    </w:p>
    <w:p w14:paraId="381143A1" w14:textId="5331D926" w:rsidR="00BD0B9A" w:rsidRDefault="00BD0B9A" w:rsidP="00BD0B9A"/>
    <w:p w14:paraId="3324F228" w14:textId="4227816E" w:rsidR="00BD0B9A" w:rsidRDefault="00E86046" w:rsidP="00BD0B9A">
      <w:pPr>
        <w:rPr>
          <w:u w:val="single"/>
        </w:rPr>
      </w:pPr>
      <w:r w:rsidRPr="00E86046">
        <w:rPr>
          <w:u w:val="single"/>
        </w:rPr>
        <w:t>Allocation of EDT</w:t>
      </w:r>
    </w:p>
    <w:p w14:paraId="009D2DA2" w14:textId="77777777" w:rsidR="005B2E74" w:rsidRDefault="005B2E74" w:rsidP="00BD0B9A">
      <w:pPr>
        <w:rPr>
          <w:u w:val="single"/>
        </w:rPr>
      </w:pPr>
    </w:p>
    <w:p w14:paraId="5B1269B3" w14:textId="1A4BEA41" w:rsidR="007E3CFC" w:rsidRDefault="00C25511" w:rsidP="00BD0B9A">
      <w:r>
        <w:t xml:space="preserve">In Anaesthesia, </w:t>
      </w:r>
      <w:r w:rsidR="005B251B">
        <w:t xml:space="preserve">EDT </w:t>
      </w:r>
      <w:r>
        <w:t xml:space="preserve">is better facilitated </w:t>
      </w:r>
      <w:r w:rsidR="00583CCF">
        <w:t xml:space="preserve">by a </w:t>
      </w:r>
      <w:r w:rsidR="005B251B">
        <w:t>session</w:t>
      </w:r>
      <w:r w:rsidR="00583CCF">
        <w:t xml:space="preserve">al </w:t>
      </w:r>
      <w:r w:rsidR="005B2E74">
        <w:t xml:space="preserve">(4.5 hours) </w:t>
      </w:r>
      <w:r w:rsidR="00583CCF">
        <w:t>allocation</w:t>
      </w:r>
      <w:r w:rsidR="005B251B">
        <w:t xml:space="preserve"> rather</w:t>
      </w:r>
      <w:r>
        <w:t xml:space="preserve"> than </w:t>
      </w:r>
      <w:r w:rsidR="00583CCF">
        <w:t xml:space="preserve">weekly hours. </w:t>
      </w:r>
      <w:r w:rsidR="006540E3">
        <w:t xml:space="preserve">To ensure appropriate </w:t>
      </w:r>
      <w:r w:rsidR="00BD339D">
        <w:t xml:space="preserve">and regular </w:t>
      </w:r>
      <w:r w:rsidR="006540E3">
        <w:t>allocation of EDT</w:t>
      </w:r>
      <w:r w:rsidR="00550EB7">
        <w:t xml:space="preserve"> throughout the training year</w:t>
      </w:r>
      <w:r w:rsidR="009C4AB8">
        <w:t xml:space="preserve">, </w:t>
      </w:r>
      <w:r w:rsidR="006F07E8">
        <w:t>departments are encouraged to annualise the sessions to a total of 16 sessions</w:t>
      </w:r>
      <w:r w:rsidR="00D47F0B">
        <w:t>/year</w:t>
      </w:r>
      <w:r w:rsidR="00424663">
        <w:t xml:space="preserve"> </w:t>
      </w:r>
      <w:r w:rsidR="006F07E8">
        <w:t xml:space="preserve">for Stage 1&amp;2 trainees </w:t>
      </w:r>
      <w:r w:rsidR="00D47F0B">
        <w:t xml:space="preserve">(4 sessions every </w:t>
      </w:r>
      <w:proofErr w:type="gramStart"/>
      <w:r w:rsidR="00D47F0B">
        <w:t>3 month</w:t>
      </w:r>
      <w:proofErr w:type="gramEnd"/>
      <w:r w:rsidR="00D47F0B">
        <w:t xml:space="preserve"> module) </w:t>
      </w:r>
      <w:r w:rsidR="006F07E8">
        <w:t>and 32 sessions</w:t>
      </w:r>
      <w:r w:rsidR="00D47F0B">
        <w:t xml:space="preserve">/year </w:t>
      </w:r>
      <w:r w:rsidR="006F07E8">
        <w:t xml:space="preserve">for Stage 3 </w:t>
      </w:r>
      <w:r w:rsidR="006F07E8">
        <w:lastRenderedPageBreak/>
        <w:t>trainees</w:t>
      </w:r>
      <w:r w:rsidR="00D47F0B">
        <w:t xml:space="preserve"> (8 sessions every 3 month module)</w:t>
      </w:r>
      <w:r w:rsidR="006F07E8">
        <w:t>.</w:t>
      </w:r>
      <w:r w:rsidR="00583CCF">
        <w:t xml:space="preserve"> This </w:t>
      </w:r>
      <w:r w:rsidR="008A6296">
        <w:t xml:space="preserve">is based on a </w:t>
      </w:r>
      <w:proofErr w:type="gramStart"/>
      <w:r w:rsidR="008A6296">
        <w:t>39/40 week</w:t>
      </w:r>
      <w:proofErr w:type="gramEnd"/>
      <w:r w:rsidR="008A6296">
        <w:t xml:space="preserve"> </w:t>
      </w:r>
      <w:r w:rsidR="00D1494E">
        <w:t>calculation</w:t>
      </w:r>
      <w:r w:rsidR="00621706">
        <w:t>,</w:t>
      </w:r>
      <w:r w:rsidR="00D1494E">
        <w:t xml:space="preserve"> </w:t>
      </w:r>
      <w:r w:rsidR="008A6296">
        <w:t xml:space="preserve">after all annual and study leave </w:t>
      </w:r>
      <w:r w:rsidR="002D0811">
        <w:t xml:space="preserve">allocation </w:t>
      </w:r>
      <w:r w:rsidR="008A6296">
        <w:t>has been taken into consideration.</w:t>
      </w:r>
    </w:p>
    <w:p w14:paraId="60AE92AE" w14:textId="22E2A9E9" w:rsidR="00E86046" w:rsidRPr="00E86046" w:rsidRDefault="00A44D58" w:rsidP="00BD0B9A">
      <w:r>
        <w:t>Departments are encouraged to prospectively rota EDT on their electronic weekly rota in the same way as teaching time is allocated.</w:t>
      </w:r>
      <w:r w:rsidR="00DB1CD6">
        <w:t xml:space="preserve"> </w:t>
      </w:r>
      <w:r w:rsidR="0030740B">
        <w:t xml:space="preserve">At times a balance will need to be found between </w:t>
      </w:r>
      <w:r w:rsidR="00AB166B">
        <w:t xml:space="preserve">effective </w:t>
      </w:r>
      <w:r w:rsidR="0030740B">
        <w:t xml:space="preserve">rota management and meeting trainee </w:t>
      </w:r>
      <w:r w:rsidR="00AB166B">
        <w:t>EDT</w:t>
      </w:r>
      <w:r w:rsidR="0030740B">
        <w:t xml:space="preserve"> needs. </w:t>
      </w:r>
      <w:r w:rsidR="00DB1CD6">
        <w:t xml:space="preserve">A degree of flexibility </w:t>
      </w:r>
      <w:r w:rsidR="00863445">
        <w:t xml:space="preserve">in the rota </w:t>
      </w:r>
      <w:r w:rsidR="00DB1CD6">
        <w:t xml:space="preserve">may be needed </w:t>
      </w:r>
      <w:r w:rsidR="00DE32B5">
        <w:t xml:space="preserve">for specific project work </w:t>
      </w:r>
      <w:r w:rsidR="00863445">
        <w:t xml:space="preserve">or </w:t>
      </w:r>
      <w:r w:rsidR="00483015">
        <w:t xml:space="preserve">to </w:t>
      </w:r>
      <w:r w:rsidR="00EB2EF5">
        <w:t>accommodate attendance at</w:t>
      </w:r>
      <w:r w:rsidR="008D0EAA">
        <w:t xml:space="preserve"> </w:t>
      </w:r>
      <w:r w:rsidR="00054C88">
        <w:t>relevant</w:t>
      </w:r>
      <w:r w:rsidR="008D0EAA">
        <w:t xml:space="preserve"> teaching lists </w:t>
      </w:r>
      <w:r w:rsidR="00DE32B5">
        <w:t>– th</w:t>
      </w:r>
      <w:r w:rsidR="00686F5F">
        <w:t>is</w:t>
      </w:r>
      <w:r w:rsidR="00DE32B5">
        <w:t xml:space="preserve"> can be agreed with the ES on a case</w:t>
      </w:r>
      <w:r w:rsidR="00FB0264">
        <w:t>-</w:t>
      </w:r>
      <w:r w:rsidR="00DE32B5">
        <w:t>by</w:t>
      </w:r>
      <w:r w:rsidR="00FB0264">
        <w:t>-</w:t>
      </w:r>
      <w:r w:rsidR="00863445">
        <w:t xml:space="preserve">case basis. </w:t>
      </w:r>
    </w:p>
    <w:p w14:paraId="3E29A700" w14:textId="3126BD30" w:rsidR="0030740B" w:rsidRDefault="0030740B" w:rsidP="00F413E1"/>
    <w:p w14:paraId="1B6E4213" w14:textId="295C3CD3" w:rsidR="0030740B" w:rsidRDefault="0030740B" w:rsidP="0030740B">
      <w:r w:rsidRPr="0033623B">
        <w:rPr>
          <w:u w:val="single"/>
        </w:rPr>
        <w:t xml:space="preserve">Examples of </w:t>
      </w:r>
      <w:r w:rsidR="00FB0264" w:rsidRPr="0033623B">
        <w:rPr>
          <w:u w:val="single"/>
        </w:rPr>
        <w:t xml:space="preserve">EDT </w:t>
      </w:r>
      <w:r w:rsidR="0033623B">
        <w:rPr>
          <w:u w:val="single"/>
        </w:rPr>
        <w:t xml:space="preserve">activity </w:t>
      </w:r>
      <w:r w:rsidRPr="0033623B">
        <w:rPr>
          <w:u w:val="single"/>
        </w:rPr>
        <w:t>include the following</w:t>
      </w:r>
      <w:r>
        <w:t>:</w:t>
      </w:r>
    </w:p>
    <w:p w14:paraId="52963043" w14:textId="66C64A5C" w:rsidR="0033623B" w:rsidRDefault="0033623B" w:rsidP="0030740B"/>
    <w:p w14:paraId="027F882D" w14:textId="187E5693" w:rsidR="002D5C6A" w:rsidRDefault="002D5C6A" w:rsidP="0033623B">
      <w:pPr>
        <w:pStyle w:val="ListParagraph"/>
        <w:numPr>
          <w:ilvl w:val="0"/>
          <w:numId w:val="4"/>
        </w:numPr>
      </w:pPr>
      <w:r>
        <w:t xml:space="preserve">Simulation </w:t>
      </w:r>
      <w:r w:rsidR="00604793">
        <w:t>based teaching</w:t>
      </w:r>
      <w:r w:rsidR="00F14D09">
        <w:t xml:space="preserve">. </w:t>
      </w:r>
      <w:r w:rsidR="00013B1A">
        <w:t>D</w:t>
      </w:r>
      <w:r w:rsidR="008120A3">
        <w:t>uring the IAC or IAOC</w:t>
      </w:r>
      <w:r w:rsidR="00403B46">
        <w:t xml:space="preserve">, EDT should support </w:t>
      </w:r>
      <w:r w:rsidR="00EA0591">
        <w:t xml:space="preserve">simulation training or </w:t>
      </w:r>
      <w:r w:rsidR="00B46B70">
        <w:t xml:space="preserve">tailored </w:t>
      </w:r>
      <w:r w:rsidR="00EA0591">
        <w:t>educational</w:t>
      </w:r>
      <w:r w:rsidR="00B46B70">
        <w:t xml:space="preserve"> novice training sessions</w:t>
      </w:r>
      <w:r w:rsidR="00EA0591">
        <w:t xml:space="preserve"> </w:t>
      </w:r>
    </w:p>
    <w:p w14:paraId="68E1DF44" w14:textId="6A7152B2" w:rsidR="00DA09E7" w:rsidRDefault="00DA09E7" w:rsidP="0033623B">
      <w:pPr>
        <w:pStyle w:val="ListParagraph"/>
        <w:numPr>
          <w:ilvl w:val="0"/>
          <w:numId w:val="4"/>
        </w:numPr>
      </w:pPr>
      <w:r>
        <w:t xml:space="preserve">Development/maintenance of </w:t>
      </w:r>
      <w:r w:rsidR="00225BFE">
        <w:t xml:space="preserve">significant and </w:t>
      </w:r>
      <w:r w:rsidR="00525ACA">
        <w:t xml:space="preserve">specific </w:t>
      </w:r>
      <w:r>
        <w:t>procedural skills for all stages of training</w:t>
      </w:r>
      <w:r w:rsidR="00525ACA">
        <w:t xml:space="preserve"> </w:t>
      </w:r>
      <w:proofErr w:type="gramStart"/>
      <w:r w:rsidR="00525ACA">
        <w:t>e.g.</w:t>
      </w:r>
      <w:proofErr w:type="gramEnd"/>
      <w:r w:rsidR="00525ACA">
        <w:t xml:space="preserve"> TOE</w:t>
      </w:r>
      <w:r w:rsidR="00B1371F">
        <w:t xml:space="preserve">/FICE, regional </w:t>
      </w:r>
      <w:r w:rsidR="00E845DB">
        <w:t>blocks</w:t>
      </w:r>
    </w:p>
    <w:p w14:paraId="0B54C033" w14:textId="2A0AFC58" w:rsidR="00A21B29" w:rsidRDefault="0033623B" w:rsidP="0033623B">
      <w:pPr>
        <w:pStyle w:val="ListParagraph"/>
        <w:numPr>
          <w:ilvl w:val="0"/>
          <w:numId w:val="4"/>
        </w:numPr>
      </w:pPr>
      <w:r>
        <w:t>Quality improvement</w:t>
      </w:r>
      <w:r w:rsidR="00A21B29">
        <w:t>/Audit project work</w:t>
      </w:r>
    </w:p>
    <w:p w14:paraId="4F595376" w14:textId="77777777" w:rsidR="00A90E0E" w:rsidRDefault="00A21B29" w:rsidP="00A90E0E">
      <w:pPr>
        <w:pStyle w:val="ListParagraph"/>
        <w:numPr>
          <w:ilvl w:val="0"/>
          <w:numId w:val="4"/>
        </w:numPr>
      </w:pPr>
      <w:r>
        <w:t xml:space="preserve">Attendance at Quality &amp; Safety/Clinical Governance meetings </w:t>
      </w:r>
    </w:p>
    <w:p w14:paraId="392C7B4B" w14:textId="7A716F44" w:rsidR="0038164F" w:rsidRPr="0038164F" w:rsidRDefault="00BD0B9A" w:rsidP="0038164F">
      <w:pPr>
        <w:pStyle w:val="ListParagraph"/>
        <w:numPr>
          <w:ilvl w:val="0"/>
          <w:numId w:val="4"/>
        </w:numPr>
      </w:pPr>
      <w:r w:rsidRPr="00A90E0E">
        <w:rPr>
          <w:rFonts w:cstheme="minorHAnsi"/>
        </w:rPr>
        <w:t xml:space="preserve">Development of </w:t>
      </w:r>
      <w:r w:rsidR="00B34029" w:rsidRPr="00A90E0E">
        <w:rPr>
          <w:rFonts w:cstheme="minorHAnsi"/>
        </w:rPr>
        <w:t>leadership/</w:t>
      </w:r>
      <w:r w:rsidRPr="00A90E0E">
        <w:rPr>
          <w:rFonts w:cstheme="minorHAnsi"/>
        </w:rPr>
        <w:t xml:space="preserve">management portfolio, </w:t>
      </w:r>
      <w:proofErr w:type="gramStart"/>
      <w:r w:rsidRPr="00A90E0E">
        <w:rPr>
          <w:rFonts w:cstheme="minorHAnsi"/>
        </w:rPr>
        <w:t>e.g.</w:t>
      </w:r>
      <w:proofErr w:type="gramEnd"/>
      <w:r w:rsidRPr="00A90E0E">
        <w:rPr>
          <w:rFonts w:cstheme="minorHAnsi"/>
        </w:rPr>
        <w:t xml:space="preserve"> complaints, serious incident investigation</w:t>
      </w:r>
      <w:r w:rsidR="0038164F">
        <w:rPr>
          <w:rFonts w:cstheme="minorHAnsi"/>
        </w:rPr>
        <w:t>s</w:t>
      </w:r>
      <w:r w:rsidRPr="00A90E0E">
        <w:rPr>
          <w:rFonts w:cstheme="minorHAnsi"/>
        </w:rPr>
        <w:t>,</w:t>
      </w:r>
      <w:r w:rsidR="00A90E0E">
        <w:rPr>
          <w:rFonts w:cstheme="minorHAnsi"/>
        </w:rPr>
        <w:t xml:space="preserve"> departmental meetings</w:t>
      </w:r>
      <w:r w:rsidR="001509DE">
        <w:rPr>
          <w:rFonts w:cstheme="minorHAnsi"/>
        </w:rPr>
        <w:t>,</w:t>
      </w:r>
      <w:r w:rsidR="00493814">
        <w:rPr>
          <w:rFonts w:cstheme="minorHAnsi"/>
        </w:rPr>
        <w:t xml:space="preserve"> training meetings,</w:t>
      </w:r>
      <w:r w:rsidR="001509DE">
        <w:rPr>
          <w:rFonts w:cstheme="minorHAnsi"/>
        </w:rPr>
        <w:t xml:space="preserve"> CD/M</w:t>
      </w:r>
      <w:r w:rsidR="006108D8">
        <w:rPr>
          <w:rFonts w:cstheme="minorHAnsi"/>
        </w:rPr>
        <w:t>D</w:t>
      </w:r>
      <w:r w:rsidR="001509DE">
        <w:rPr>
          <w:rFonts w:cstheme="minorHAnsi"/>
        </w:rPr>
        <w:t xml:space="preserve"> observation work</w:t>
      </w:r>
    </w:p>
    <w:p w14:paraId="1EA7F704" w14:textId="437A9957" w:rsidR="0038164F" w:rsidRDefault="00BD0B9A" w:rsidP="00BD0B9A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38164F">
        <w:rPr>
          <w:rFonts w:cstheme="minorHAnsi"/>
        </w:rPr>
        <w:t>Teaching and development as an educator</w:t>
      </w:r>
    </w:p>
    <w:p w14:paraId="0B77B9A2" w14:textId="5F223F73" w:rsidR="0038164F" w:rsidRDefault="00BD0B9A" w:rsidP="00BD0B9A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38164F">
        <w:rPr>
          <w:rFonts w:cstheme="minorHAnsi"/>
        </w:rPr>
        <w:t xml:space="preserve">Research </w:t>
      </w:r>
      <w:r w:rsidR="0038164F">
        <w:rPr>
          <w:rFonts w:cstheme="minorHAnsi"/>
        </w:rPr>
        <w:t>activity</w:t>
      </w:r>
    </w:p>
    <w:p w14:paraId="2CADA362" w14:textId="0A7BE866" w:rsidR="00BD0B9A" w:rsidRDefault="00FB0264" w:rsidP="000A2AC8">
      <w:pPr>
        <w:pStyle w:val="ListParagraph"/>
        <w:numPr>
          <w:ilvl w:val="0"/>
          <w:numId w:val="4"/>
        </w:numPr>
        <w:jc w:val="both"/>
      </w:pPr>
      <w:r>
        <w:t>COVID related training recovery</w:t>
      </w:r>
    </w:p>
    <w:p w14:paraId="395EBDFC" w14:textId="44FC3C92" w:rsidR="00315035" w:rsidRDefault="00315035" w:rsidP="00315035">
      <w:pPr>
        <w:jc w:val="both"/>
      </w:pPr>
    </w:p>
    <w:p w14:paraId="304A70D5" w14:textId="3BCEFD61" w:rsidR="00315035" w:rsidRDefault="00315035" w:rsidP="00315035">
      <w:pPr>
        <w:jc w:val="both"/>
      </w:pPr>
    </w:p>
    <w:p w14:paraId="0F6AEF00" w14:textId="377E4B09" w:rsidR="00315035" w:rsidRDefault="00315035" w:rsidP="00315035">
      <w:pPr>
        <w:jc w:val="both"/>
        <w:rPr>
          <w:u w:val="single"/>
        </w:rPr>
      </w:pPr>
      <w:r w:rsidRPr="00315035">
        <w:rPr>
          <w:u w:val="single"/>
        </w:rPr>
        <w:t>Working Group</w:t>
      </w:r>
    </w:p>
    <w:p w14:paraId="210D316C" w14:textId="17C25E7C" w:rsidR="00315035" w:rsidRDefault="00315035" w:rsidP="00315035">
      <w:pPr>
        <w:jc w:val="both"/>
        <w:rPr>
          <w:u w:val="single"/>
        </w:rPr>
      </w:pPr>
    </w:p>
    <w:p w14:paraId="7D788DC3" w14:textId="34894E19" w:rsidR="00315035" w:rsidRPr="00005A7E" w:rsidRDefault="00315035" w:rsidP="00315035">
      <w:pPr>
        <w:jc w:val="both"/>
      </w:pPr>
      <w:r w:rsidRPr="00005A7E">
        <w:t>Sarah Harries</w:t>
      </w:r>
      <w:r w:rsidR="00A45D72">
        <w:t xml:space="preserve"> – Head of School, HEIW</w:t>
      </w:r>
    </w:p>
    <w:p w14:paraId="6236D3F5" w14:textId="2D596EE4" w:rsidR="00315035" w:rsidRPr="00005A7E" w:rsidRDefault="00315035" w:rsidP="00315035">
      <w:pPr>
        <w:jc w:val="both"/>
      </w:pPr>
      <w:r w:rsidRPr="00005A7E">
        <w:t>Simon Ford</w:t>
      </w:r>
      <w:r w:rsidR="00A45D72">
        <w:t xml:space="preserve"> – Regional Adviser Anaesthesia, Wales</w:t>
      </w:r>
    </w:p>
    <w:p w14:paraId="105CC5B5" w14:textId="2EFFF78A" w:rsidR="00315035" w:rsidRPr="00005A7E" w:rsidRDefault="00005A7E" w:rsidP="00315035">
      <w:pPr>
        <w:jc w:val="both"/>
      </w:pPr>
      <w:r w:rsidRPr="00005A7E">
        <w:t>Suman Mitra</w:t>
      </w:r>
      <w:r w:rsidR="00A45D72">
        <w:t xml:space="preserve"> – College Tutor, Ysbyty Gwynedd</w:t>
      </w:r>
    </w:p>
    <w:p w14:paraId="5E697F76" w14:textId="37A5040E" w:rsidR="00005A7E" w:rsidRPr="00005A7E" w:rsidRDefault="00005A7E" w:rsidP="00315035">
      <w:pPr>
        <w:jc w:val="both"/>
      </w:pPr>
      <w:proofErr w:type="gramStart"/>
      <w:r w:rsidRPr="00005A7E">
        <w:t>Non Morris</w:t>
      </w:r>
      <w:proofErr w:type="gramEnd"/>
      <w:r w:rsidR="00A45D72">
        <w:t xml:space="preserve"> – College Tutor, Aneurin Bevan UHB</w:t>
      </w:r>
    </w:p>
    <w:p w14:paraId="3047E8E2" w14:textId="07CE5DE9" w:rsidR="00005A7E" w:rsidRPr="00005A7E" w:rsidRDefault="00005A7E" w:rsidP="00315035">
      <w:pPr>
        <w:jc w:val="both"/>
      </w:pPr>
      <w:r w:rsidRPr="00005A7E">
        <w:t xml:space="preserve">Paulo </w:t>
      </w:r>
      <w:proofErr w:type="spellStart"/>
      <w:r w:rsidRPr="00005A7E">
        <w:t>Antoniazzi</w:t>
      </w:r>
      <w:proofErr w:type="spellEnd"/>
      <w:r w:rsidR="00A45D72">
        <w:t xml:space="preserve"> – College Tutor, Princess of Wales Hospital</w:t>
      </w:r>
    </w:p>
    <w:p w14:paraId="51CD3273" w14:textId="4FCC214C" w:rsidR="00005A7E" w:rsidRPr="00005A7E" w:rsidRDefault="00005A7E" w:rsidP="00315035">
      <w:pPr>
        <w:jc w:val="both"/>
      </w:pPr>
      <w:proofErr w:type="spellStart"/>
      <w:r w:rsidRPr="00005A7E">
        <w:t>Ifan</w:t>
      </w:r>
      <w:proofErr w:type="spellEnd"/>
      <w:r w:rsidRPr="00005A7E">
        <w:t xml:space="preserve"> </w:t>
      </w:r>
      <w:proofErr w:type="spellStart"/>
      <w:r w:rsidRPr="00005A7E">
        <w:t>Patchnell</w:t>
      </w:r>
      <w:proofErr w:type="spellEnd"/>
      <w:r w:rsidR="00A45D72">
        <w:t xml:space="preserve"> – Higher Specialty Training Representative</w:t>
      </w:r>
    </w:p>
    <w:p w14:paraId="77B80548" w14:textId="04A61536" w:rsidR="00005A7E" w:rsidRPr="00005A7E" w:rsidRDefault="00005A7E" w:rsidP="00315035">
      <w:pPr>
        <w:jc w:val="both"/>
      </w:pPr>
      <w:r w:rsidRPr="00005A7E">
        <w:t xml:space="preserve">Jennifer </w:t>
      </w:r>
      <w:proofErr w:type="spellStart"/>
      <w:r w:rsidRPr="00005A7E">
        <w:t>Myo</w:t>
      </w:r>
      <w:proofErr w:type="spellEnd"/>
      <w:r w:rsidR="00A45D72">
        <w:t xml:space="preserve"> – Intermediate Specialty Training Representative</w:t>
      </w:r>
    </w:p>
    <w:p w14:paraId="612B4E3B" w14:textId="5ACF0F27" w:rsidR="00005A7E" w:rsidRDefault="00005A7E" w:rsidP="00315035">
      <w:pPr>
        <w:jc w:val="both"/>
      </w:pPr>
      <w:r w:rsidRPr="00005A7E">
        <w:t>Kelly Ronan</w:t>
      </w:r>
      <w:r w:rsidR="00A45D72">
        <w:t xml:space="preserve"> </w:t>
      </w:r>
      <w:r w:rsidR="00CD5A1D">
        <w:t>–</w:t>
      </w:r>
      <w:r w:rsidR="00A45D72">
        <w:t xml:space="preserve"> D</w:t>
      </w:r>
      <w:r w:rsidR="00CD5A1D">
        <w:t>epartment Manager, Cardiff &amp; Vale UHB Anaesthetic Department</w:t>
      </w:r>
    </w:p>
    <w:p w14:paraId="6B663DBB" w14:textId="4BA9CD67" w:rsidR="00005A7E" w:rsidRDefault="00005A7E" w:rsidP="00315035">
      <w:pPr>
        <w:jc w:val="both"/>
      </w:pPr>
    </w:p>
    <w:p w14:paraId="5E0FE75C" w14:textId="64AD01FC" w:rsidR="00005A7E" w:rsidRDefault="00005A7E" w:rsidP="00315035">
      <w:pPr>
        <w:jc w:val="both"/>
      </w:pPr>
    </w:p>
    <w:p w14:paraId="599B8AE6" w14:textId="08914FA9" w:rsidR="00005A7E" w:rsidRPr="00005A7E" w:rsidRDefault="00005A7E" w:rsidP="00315035">
      <w:pPr>
        <w:jc w:val="both"/>
      </w:pPr>
      <w:r>
        <w:t>January 2022</w:t>
      </w:r>
    </w:p>
    <w:p w14:paraId="7002D3C4" w14:textId="1663BC2F" w:rsidR="0038164F" w:rsidRDefault="0038164F" w:rsidP="0038164F">
      <w:pPr>
        <w:jc w:val="both"/>
      </w:pPr>
    </w:p>
    <w:p w14:paraId="4DCC5D19" w14:textId="6E56917E" w:rsidR="0038164F" w:rsidRPr="00AC3BAB" w:rsidRDefault="00225BFE" w:rsidP="0038164F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FB03ED" wp14:editId="0A1889F6">
            <wp:simplePos x="0" y="0"/>
            <wp:positionH relativeFrom="page">
              <wp:align>right</wp:align>
            </wp:positionH>
            <wp:positionV relativeFrom="paragraph">
              <wp:posOffset>1760855</wp:posOffset>
            </wp:positionV>
            <wp:extent cx="2108200" cy="165735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8D8">
        <w:rPr>
          <w:b/>
          <w:noProof/>
          <w:sz w:val="32"/>
        </w:rPr>
        <w:drawing>
          <wp:anchor distT="0" distB="0" distL="114300" distR="114300" simplePos="0" relativeHeight="251664384" behindDoc="1" locked="0" layoutInCell="1" allowOverlap="1" wp14:anchorId="3D71FAB1" wp14:editId="316BFF8E">
            <wp:simplePos x="0" y="0"/>
            <wp:positionH relativeFrom="margin">
              <wp:posOffset>-527050</wp:posOffset>
            </wp:positionH>
            <wp:positionV relativeFrom="page">
              <wp:posOffset>9721850</wp:posOffset>
            </wp:positionV>
            <wp:extent cx="2738755" cy="767715"/>
            <wp:effectExtent l="0" t="0" r="4445" b="0"/>
            <wp:wrapTight wrapText="bothSides">
              <wp:wrapPolygon edited="0">
                <wp:start x="0" y="0"/>
                <wp:lineTo x="0" y="20903"/>
                <wp:lineTo x="21485" y="20903"/>
                <wp:lineTo x="21485" y="0"/>
                <wp:lineTo x="0" y="0"/>
              </wp:wrapPolygon>
            </wp:wrapTight>
            <wp:docPr id="1" name="Picture 1" descr="S:\Common\Communications\HEIW\Branding\Logos\HEIW (Standar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mmon\Communications\HEIW\Branding\Logos\HEIW (Standard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164F" w:rsidRPr="00AC3BAB" w:rsidSect="000A2AC8">
      <w:pgSz w:w="11900" w:h="16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48EB"/>
    <w:multiLevelType w:val="hybridMultilevel"/>
    <w:tmpl w:val="79E0F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7A37"/>
    <w:multiLevelType w:val="hybridMultilevel"/>
    <w:tmpl w:val="A238D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D0829"/>
    <w:multiLevelType w:val="hybridMultilevel"/>
    <w:tmpl w:val="A4BAF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7BAC"/>
    <w:multiLevelType w:val="hybridMultilevel"/>
    <w:tmpl w:val="61B02728"/>
    <w:lvl w:ilvl="0" w:tplc="738ACF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1460">
    <w:abstractNumId w:val="0"/>
  </w:num>
  <w:num w:numId="2" w16cid:durableId="1351447703">
    <w:abstractNumId w:val="1"/>
  </w:num>
  <w:num w:numId="3" w16cid:durableId="977148776">
    <w:abstractNumId w:val="3"/>
  </w:num>
  <w:num w:numId="4" w16cid:durableId="782769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AB"/>
    <w:rsid w:val="00005A7E"/>
    <w:rsid w:val="00013B1A"/>
    <w:rsid w:val="00054C88"/>
    <w:rsid w:val="000971BC"/>
    <w:rsid w:val="000A2AC8"/>
    <w:rsid w:val="000D329E"/>
    <w:rsid w:val="000F6D07"/>
    <w:rsid w:val="00106EA8"/>
    <w:rsid w:val="001275F0"/>
    <w:rsid w:val="001367AC"/>
    <w:rsid w:val="001509DE"/>
    <w:rsid w:val="001B3A55"/>
    <w:rsid w:val="0020025A"/>
    <w:rsid w:val="002048FC"/>
    <w:rsid w:val="00225BFE"/>
    <w:rsid w:val="00231585"/>
    <w:rsid w:val="00260B15"/>
    <w:rsid w:val="002D0811"/>
    <w:rsid w:val="002D1CC8"/>
    <w:rsid w:val="002D5C6A"/>
    <w:rsid w:val="002E5DFC"/>
    <w:rsid w:val="0030740B"/>
    <w:rsid w:val="00315035"/>
    <w:rsid w:val="00332FA5"/>
    <w:rsid w:val="0033623B"/>
    <w:rsid w:val="00355533"/>
    <w:rsid w:val="003575CF"/>
    <w:rsid w:val="0036031E"/>
    <w:rsid w:val="0038164F"/>
    <w:rsid w:val="00381DCB"/>
    <w:rsid w:val="003C6C58"/>
    <w:rsid w:val="003F6013"/>
    <w:rsid w:val="00403B46"/>
    <w:rsid w:val="00424663"/>
    <w:rsid w:val="004261F5"/>
    <w:rsid w:val="00483015"/>
    <w:rsid w:val="00493814"/>
    <w:rsid w:val="004B7414"/>
    <w:rsid w:val="004C7231"/>
    <w:rsid w:val="004E1229"/>
    <w:rsid w:val="00525ACA"/>
    <w:rsid w:val="005503F7"/>
    <w:rsid w:val="00550EB7"/>
    <w:rsid w:val="00570FCE"/>
    <w:rsid w:val="00583CCF"/>
    <w:rsid w:val="005B12C4"/>
    <w:rsid w:val="005B251B"/>
    <w:rsid w:val="005B2E74"/>
    <w:rsid w:val="005B7FD6"/>
    <w:rsid w:val="005E5508"/>
    <w:rsid w:val="00604793"/>
    <w:rsid w:val="006108D8"/>
    <w:rsid w:val="00621706"/>
    <w:rsid w:val="00627351"/>
    <w:rsid w:val="006540E3"/>
    <w:rsid w:val="00686F5F"/>
    <w:rsid w:val="00691C99"/>
    <w:rsid w:val="006A7804"/>
    <w:rsid w:val="006E73CD"/>
    <w:rsid w:val="006F07E8"/>
    <w:rsid w:val="00716070"/>
    <w:rsid w:val="007533F1"/>
    <w:rsid w:val="007D1C9A"/>
    <w:rsid w:val="007E3CFC"/>
    <w:rsid w:val="008120A3"/>
    <w:rsid w:val="00863445"/>
    <w:rsid w:val="008A6296"/>
    <w:rsid w:val="008B686B"/>
    <w:rsid w:val="008D0EAA"/>
    <w:rsid w:val="00906C74"/>
    <w:rsid w:val="00915984"/>
    <w:rsid w:val="00916380"/>
    <w:rsid w:val="00917BC0"/>
    <w:rsid w:val="009279CC"/>
    <w:rsid w:val="00934E24"/>
    <w:rsid w:val="009C4AB8"/>
    <w:rsid w:val="009F3D58"/>
    <w:rsid w:val="00A21B29"/>
    <w:rsid w:val="00A44D58"/>
    <w:rsid w:val="00A45D72"/>
    <w:rsid w:val="00A90E0E"/>
    <w:rsid w:val="00AA1165"/>
    <w:rsid w:val="00AB166B"/>
    <w:rsid w:val="00AC3BAB"/>
    <w:rsid w:val="00AD435F"/>
    <w:rsid w:val="00B017D3"/>
    <w:rsid w:val="00B11B00"/>
    <w:rsid w:val="00B1371F"/>
    <w:rsid w:val="00B34029"/>
    <w:rsid w:val="00B46B70"/>
    <w:rsid w:val="00B828B3"/>
    <w:rsid w:val="00B94C11"/>
    <w:rsid w:val="00BB6251"/>
    <w:rsid w:val="00BD0B9A"/>
    <w:rsid w:val="00BD339D"/>
    <w:rsid w:val="00BE0ECC"/>
    <w:rsid w:val="00C25511"/>
    <w:rsid w:val="00C72B2D"/>
    <w:rsid w:val="00C73A5B"/>
    <w:rsid w:val="00C861A1"/>
    <w:rsid w:val="00CD0EBE"/>
    <w:rsid w:val="00CD5A1D"/>
    <w:rsid w:val="00CF7476"/>
    <w:rsid w:val="00D1494E"/>
    <w:rsid w:val="00D42F70"/>
    <w:rsid w:val="00D43107"/>
    <w:rsid w:val="00D47F0B"/>
    <w:rsid w:val="00D75E53"/>
    <w:rsid w:val="00DA09E7"/>
    <w:rsid w:val="00DB1CD6"/>
    <w:rsid w:val="00DC5D02"/>
    <w:rsid w:val="00DD3C09"/>
    <w:rsid w:val="00DE32B5"/>
    <w:rsid w:val="00E2037D"/>
    <w:rsid w:val="00E845DB"/>
    <w:rsid w:val="00E86046"/>
    <w:rsid w:val="00E87963"/>
    <w:rsid w:val="00EA0591"/>
    <w:rsid w:val="00EB2EF5"/>
    <w:rsid w:val="00ED2371"/>
    <w:rsid w:val="00EE58D3"/>
    <w:rsid w:val="00EF26D1"/>
    <w:rsid w:val="00F14D09"/>
    <w:rsid w:val="00F413E1"/>
    <w:rsid w:val="00F53804"/>
    <w:rsid w:val="00FA0F4C"/>
    <w:rsid w:val="00FB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13BA"/>
  <w15:chartTrackingRefBased/>
  <w15:docId w15:val="{2E121395-4C76-CC42-B253-AA5225E9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B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4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Evans</dc:creator>
  <cp:keywords/>
  <dc:description/>
  <cp:lastModifiedBy>Adamson, Michael</cp:lastModifiedBy>
  <cp:revision>2</cp:revision>
  <dcterms:created xsi:type="dcterms:W3CDTF">2022-08-16T10:45:00Z</dcterms:created>
  <dcterms:modified xsi:type="dcterms:W3CDTF">2022-08-16T10:45:00Z</dcterms:modified>
</cp:coreProperties>
</file>